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0ABB3641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>all’indirizz</w:t>
      </w:r>
      <w:r w:rsidR="0082487E">
        <w:rPr>
          <w:sz w:val="22"/>
          <w:szCs w:val="22"/>
        </w:rPr>
        <w:t>o:</w:t>
      </w:r>
      <w:r w:rsidR="003140C6">
        <w:rPr>
          <w:sz w:val="22"/>
          <w:szCs w:val="22"/>
        </w:rPr>
        <w:t xml:space="preserve"> </w:t>
      </w:r>
      <w:r w:rsidR="0082487E" w:rsidRPr="001E4601">
        <w:rPr>
          <w:rFonts w:eastAsia="Arial Narrow"/>
          <w:bCs/>
          <w:color w:val="000000"/>
        </w:rPr>
        <w:t>Donoratico (LI) – Via Aurelia, 11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>dirizzo</w:t>
      </w:r>
      <w:r w:rsidR="0082487E">
        <w:rPr>
          <w:sz w:val="22"/>
          <w:szCs w:val="22"/>
        </w:rPr>
        <w:t xml:space="preserve"> </w:t>
      </w:r>
      <w:r w:rsidR="0082487E" w:rsidRPr="0082487E">
        <w:rPr>
          <w:sz w:val="22"/>
          <w:szCs w:val="22"/>
        </w:rPr>
        <w:t>castagnetobanca@pec.castagnetobanca.it</w:t>
      </w:r>
      <w:r w:rsidR="00C505E0">
        <w:rPr>
          <w:sz w:val="22"/>
          <w:szCs w:val="22"/>
        </w:rPr>
        <w:t xml:space="preserve"> 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000000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000000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000000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000000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6848109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  <w:r w:rsidR="00653539">
              <w:rPr>
                <w:b/>
                <w:bCs/>
              </w:rPr>
              <w:t xml:space="preserve"> </w:t>
            </w:r>
            <w:r w:rsidR="00653539" w:rsidRPr="004E1594">
              <w:rPr>
                <w:b/>
                <w:bCs/>
                <w:sz w:val="18"/>
                <w:szCs w:val="18"/>
              </w:rPr>
              <w:t>(</w:t>
            </w:r>
            <w:r w:rsidR="00653539">
              <w:rPr>
                <w:b/>
                <w:bCs/>
                <w:sz w:val="18"/>
                <w:szCs w:val="18"/>
              </w:rPr>
              <w:t>utilizzato solo in mancanza di altri rapporti attivi presso la banca sui quali effettuare l’accredito)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0F1EA108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170E7D0E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>1</w:t>
            </w:r>
            <w:r w:rsidR="00FC42B8">
              <w:rPr>
                <w:color w:val="FFFFFF" w:themeColor="background1"/>
                <w:sz w:val="16"/>
                <w:szCs w:val="16"/>
              </w:rPr>
              <w:t>2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 xml:space="preserve"> cifre indicate sul fronte della plastica</w:t>
            </w:r>
            <w:r w:rsidR="00FC42B8">
              <w:rPr>
                <w:color w:val="FFFFFF" w:themeColor="background1"/>
                <w:sz w:val="16"/>
                <w:szCs w:val="16"/>
              </w:rPr>
              <w:t xml:space="preserve"> non è il PAN della carta</w:t>
            </w:r>
            <w:r w:rsidRPr="00C10825">
              <w:rPr>
                <w:color w:val="FFFFFF" w:themeColor="background1"/>
                <w:sz w:val="16"/>
                <w:szCs w:val="16"/>
              </w:rPr>
              <w:t>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000000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000000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000000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000000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000000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000000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000000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000000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000000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000000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000000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000000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000000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000000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000000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000000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000000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000000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000000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000000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000000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000000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000000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000000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000000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000000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000000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000000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000000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000000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000000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000000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000000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000000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000000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000000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000000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000000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000000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000000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000000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000000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000000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000000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000000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000000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000000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000000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000000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000000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000000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000000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</w:t>
            </w:r>
            <w:proofErr w:type="spellStart"/>
            <w:r w:rsidRPr="00CF1417">
              <w:t>Inbank</w:t>
            </w:r>
            <w:proofErr w:type="spellEnd"/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 xml:space="preserve">‘inganno a realizzare pagamenti con la tua carta o operazioni di bonifico disposte tramite </w:t>
            </w:r>
            <w:proofErr w:type="spellStart"/>
            <w:r w:rsidRPr="008825F8">
              <w:t>Inbank</w:t>
            </w:r>
            <w:proofErr w:type="spellEnd"/>
            <w:r w:rsidRPr="008825F8">
              <w:t xml:space="preserve">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000000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000000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000000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000000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000000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000000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000000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000000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000000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000000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000000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000000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000000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000000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000000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000000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>
        <w:lastRenderedPageBreak/>
        <w:t>Il/la sottoscritt</w:t>
      </w:r>
      <w:r w:rsidRPr="3E4387B5">
        <w:rPr>
          <w:rFonts w:eastAsiaTheme="minorEastAsia"/>
        </w:rPr>
        <w:t>o/a prende atto</w:t>
      </w:r>
      <w:r w:rsidR="450AEF37" w:rsidRPr="3E4387B5">
        <w:rPr>
          <w:rFonts w:eastAsiaTheme="minorEastAsia"/>
        </w:rPr>
        <w:t xml:space="preserve"> che</w:t>
      </w:r>
      <w:r w:rsidR="6D43C664" w:rsidRPr="3E4387B5">
        <w:rPr>
          <w:rFonts w:eastAsiaTheme="minorEastAsia"/>
        </w:rPr>
        <w:t>,</w:t>
      </w:r>
      <w:r w:rsidR="450AEF37" w:rsidRPr="3E4387B5">
        <w:rPr>
          <w:rFonts w:eastAsiaTheme="minorEastAsia"/>
        </w:rPr>
        <w:t xml:space="preserve"> </w:t>
      </w:r>
      <w:r w:rsidR="6D43C664" w:rsidRPr="3E4387B5">
        <w:rPr>
          <w:rFonts w:eastAsiaTheme="minorEastAsia"/>
        </w:rPr>
        <w:t>qualora la banca constati che si tratti di un’operazione non autorizzata dal pagatore</w:t>
      </w:r>
      <w:r w:rsidR="407B86B7" w:rsidRPr="3E4387B5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3E4387B5">
        <w:rPr>
          <w:rFonts w:asciiTheme="minorHAnsi" w:eastAsiaTheme="minorEastAsia" w:hAnsiTheme="minorHAnsi"/>
        </w:rPr>
        <w:t xml:space="preserve"> cliente)</w:t>
      </w:r>
      <w:r w:rsidR="6D43C664" w:rsidRPr="3E4387B5">
        <w:rPr>
          <w:rFonts w:asciiTheme="minorHAnsi" w:eastAsiaTheme="minorEastAsia" w:hAnsiTheme="minorHAnsi"/>
        </w:rPr>
        <w:t xml:space="preserve">, </w:t>
      </w:r>
      <w:r w:rsidR="6D43C664" w:rsidRPr="3E4387B5">
        <w:rPr>
          <w:rFonts w:eastAsia="Century Gothic" w:cs="Century Gothic"/>
        </w:rPr>
        <w:t>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8E4B" w14:textId="77777777" w:rsidR="002B6478" w:rsidRDefault="002B6478" w:rsidP="00EC0C98">
      <w:r>
        <w:separator/>
      </w:r>
    </w:p>
  </w:endnote>
  <w:endnote w:type="continuationSeparator" w:id="0">
    <w:p w14:paraId="6B75E513" w14:textId="77777777" w:rsidR="002B6478" w:rsidRDefault="002B6478" w:rsidP="00EC0C98">
      <w:r>
        <w:continuationSeparator/>
      </w:r>
    </w:p>
  </w:endnote>
  <w:endnote w:type="continuationNotice" w:id="1">
    <w:p w14:paraId="0B1868AF" w14:textId="77777777" w:rsidR="002B6478" w:rsidRDefault="002B6478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CD82" w14:textId="77777777" w:rsidR="00D76E77" w:rsidRDefault="00D76E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6B6675B3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9C93" w14:textId="77777777" w:rsidR="00D76E77" w:rsidRDefault="00D76E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2E97" w14:textId="77777777" w:rsidR="002B6478" w:rsidRDefault="002B6478" w:rsidP="00EC0C98">
      <w:r>
        <w:separator/>
      </w:r>
    </w:p>
  </w:footnote>
  <w:footnote w:type="continuationSeparator" w:id="0">
    <w:p w14:paraId="41C8D87F" w14:textId="77777777" w:rsidR="002B6478" w:rsidRDefault="002B6478" w:rsidP="00EC0C98">
      <w:r>
        <w:continuationSeparator/>
      </w:r>
    </w:p>
  </w:footnote>
  <w:footnote w:type="continuationNotice" w:id="1">
    <w:p w14:paraId="47621CFA" w14:textId="77777777" w:rsidR="002B6478" w:rsidRDefault="002B6478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7A6F3167" w:rsidR="007D10E3" w:rsidRDefault="00AF5E75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C735F4" wp14:editId="41F38B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91005" cy="352425"/>
              <wp:effectExtent l="0" t="0" r="0" b="9525"/>
              <wp:wrapNone/>
              <wp:docPr id="1081280569" name="Casella di testo 6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100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0782F" w14:textId="117F9498" w:rsidR="00AF5E75" w:rsidRPr="00AF5E75" w:rsidRDefault="00AF5E75" w:rsidP="00AF5E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F5E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735F4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alt="CLASSIFICAZIONE: INTERNO" style="position:absolute;left:0;text-align:left;margin-left:81.95pt;margin-top:0;width:133.15pt;height:27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UeDgIAABsEAAAOAAAAZHJzL2Uyb0RvYy54bWysU1tr2zAUfh/sPwi9L3aypqwmTslaMgah&#10;LaSjz4osxQZLR0gnsbNfvyPZabpuT2Mv0rnpXL7zaXHbm5YdlQ8N2JJPJzlnykqoGrsv+Y/n9acv&#10;nAUUthItWFXykwr8dvnxw6JzhZpBDW2lPKMkNhSdK3mN6IosC7JWRoQJOGXJqcEbgaT6fVZ50VF2&#10;02azPL/OOvCV8yBVCGS9H5x8mfJrrSQ+ah0Usrbk1Bum06dzF89suRDF3gtXN3JsQ/xDF0Y0loq+&#10;proXKNjBN3+kMo30EEDjRILJQOtGqjQDTTPN302zrYVTaRYCJ7hXmML/Sysfjlv35Bn2X6GnBUZA&#10;OheKQMY4T6+9iTd1yshPEJ5eYVM9MhkfXd9M83zOmSTf5/nsajaPabLLa+cDflNgWBRK7mktCS1x&#10;3AQcQs8hsZiFddO2aTWt/c1AOaMlu7QYJex3/dj3DqoTjeNh2HRwct1QzY0I+CQ8rZYmILriIx26&#10;ha7kMEqc1eB//s0e4wlx8nLWEVVKbonLnLXfLW0isioJ05t8npPmkzabX+VR252D7MHcAbFwSh/C&#10;ySTGYGzPovZgXojNq1iNXMJKqllyPIt3OBCXfoNUq1UKIhY5gRu7dTKmjmBFJJ/7F+HdCDfSoh7g&#10;TCZRvEN9iI0vg1sdkLBPK4nADmiOeBMD01LH3xIp/lZPUZc/vfwFAAD//wMAUEsDBBQABgAIAAAA&#10;IQBJOCue3gAAAAQBAAAPAAAAZHJzL2Rvd25yZXYueG1sTI/BasMwEETvhf6D2EIupZGbYJM4lkMp&#10;BJJDD03iQ2+ytbFNrZWRFMf++6q9NJeFYYaZt9l21B0b0LrWkIDXeQQMqTKqpVrA+bR7WQFzXpKS&#10;nSEUMKGDbf74kMlUmRt94nD0NQsl5FIpoPG+Tzl3VYNaurnpkYJ3MVZLH6StubLyFsp1xxdRlHAt&#10;WwoLjezxvcHq+3jVAorRPn/s1of9VH61wxQdiuXqUggxexrfNsA8jv4/DL/4AR3ywFSaKynHOgHh&#10;Ef93g7dIkiWwUkAcx8DzjN/D5z8AAAD//wMAUEsBAi0AFAAGAAgAAAAhALaDOJL+AAAA4QEAABMA&#10;AAAAAAAAAAAAAAAAAAAAAFtDb250ZW50X1R5cGVzXS54bWxQSwECLQAUAAYACAAAACEAOP0h/9YA&#10;AACUAQAACwAAAAAAAAAAAAAAAAAvAQAAX3JlbHMvLnJlbHNQSwECLQAUAAYACAAAACEAmgZlHg4C&#10;AAAbBAAADgAAAAAAAAAAAAAAAAAuAgAAZHJzL2Uyb0RvYy54bWxQSwECLQAUAAYACAAAACEASTgr&#10;nt4AAAAEAQAADwAAAAAAAAAAAAAAAABoBAAAZHJzL2Rvd25yZXYueG1sUEsFBgAAAAAEAAQA8wAA&#10;AHMFAAAAAA==&#10;" filled="f" stroked="f">
              <v:textbox style="mso-fit-shape-to-text:t" inset="0,15pt,20pt,0">
                <w:txbxContent>
                  <w:p w14:paraId="4F30782F" w14:textId="117F9498" w:rsidR="00AF5E75" w:rsidRPr="00AF5E75" w:rsidRDefault="00AF5E75" w:rsidP="00AF5E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F5E7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7403"/>
      <w:gridCol w:w="1243"/>
    </w:tblGrid>
    <w:tr w:rsidR="00496468" w:rsidRPr="004B16C6" w14:paraId="067CCFF8" w14:textId="77777777" w:rsidTr="00AD4A7E">
      <w:trPr>
        <w:trHeight w:val="294"/>
      </w:trPr>
      <w:tc>
        <w:tcPr>
          <w:tcW w:w="1560" w:type="dxa"/>
          <w:vAlign w:val="center"/>
        </w:tcPr>
        <w:p w14:paraId="66CDBA79" w14:textId="5C2EBC25" w:rsidR="00496468" w:rsidRPr="004B16C6" w:rsidRDefault="00AD4A7E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49218C4" wp14:editId="07F4AF1C">
                <wp:extent cx="857885" cy="168910"/>
                <wp:effectExtent l="0" t="0" r="0" b="2540"/>
                <wp:docPr id="398902058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8902058" name="Immagine 39890205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885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vAlign w:val="center"/>
        </w:tcPr>
        <w:p w14:paraId="34C55825" w14:textId="3D5BCEC5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vAlign w:val="center"/>
        </w:tcPr>
        <w:p w14:paraId="73866926" w14:textId="380E4F14" w:rsidR="00496468" w:rsidRPr="004B16C6" w:rsidRDefault="291083D5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291083D5">
            <w:rPr>
              <w:rFonts w:ascii="Arial" w:hAnsi="Arial" w:cs="Arial"/>
              <w:sz w:val="20"/>
              <w:szCs w:val="20"/>
            </w:rPr>
            <w:t>ED. 0</w:t>
          </w:r>
          <w:r w:rsidR="00411419">
            <w:rPr>
              <w:rFonts w:ascii="Arial" w:hAnsi="Arial" w:cs="Arial"/>
              <w:sz w:val="20"/>
              <w:szCs w:val="20"/>
            </w:rPr>
            <w:t>3</w:t>
          </w:r>
          <w:r w:rsidRPr="291083D5">
            <w:rPr>
              <w:rFonts w:ascii="Arial" w:hAnsi="Arial" w:cs="Arial"/>
              <w:sz w:val="20"/>
              <w:szCs w:val="20"/>
            </w:rPr>
            <w:t>/202</w:t>
          </w:r>
          <w:r w:rsidR="00411419">
            <w:rPr>
              <w:rFonts w:ascii="Arial" w:hAnsi="Arial" w:cs="Arial"/>
              <w:sz w:val="20"/>
              <w:szCs w:val="20"/>
            </w:rPr>
            <w:t>6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6ECEC4F8" w:rsidR="007D10E3" w:rsidRDefault="00AF5E75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675190" wp14:editId="143F9C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91005" cy="352425"/>
              <wp:effectExtent l="0" t="0" r="0" b="9525"/>
              <wp:wrapNone/>
              <wp:docPr id="528626989" name="Casella di testo 5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100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04101" w14:textId="611A9A81" w:rsidR="00AF5E75" w:rsidRPr="00AF5E75" w:rsidRDefault="00AF5E75" w:rsidP="00AF5E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F5E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7519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alt="CLASSIFICAZIONE: INTERNO" style="position:absolute;left:0;text-align:left;margin-left:81.95pt;margin-top:0;width:133.1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B+EgIAACIEAAAOAAAAZHJzL2Uyb0RvYy54bWysU01v2zAMvQ/YfxB0X+xkTbEacYqsRYYB&#10;QVsgHXpWZCk2YImCxMTOfv0oOR9d29Owi0yKND/ee5rd9qZle+VDA7bk41HOmbISqsZuS/7refnl&#10;G2cBha1EC1aV/KACv51//jTrXKEmUENbKc+oiA1F50peI7oiy4KslRFhBE5ZCmrwRiC5fptVXnRU&#10;3bTZJM+vsw585TxIFQLd3g9BPk/1tVYSH7UOCllbcpoN0+nTuYlnNp+JYuuFqxt5HEP8wxRGNJaa&#10;nkvdCxRs55t3pUwjPQTQOJJgMtC6kSrtQNuM8zfbrGvhVNqFwAnuDFP4f2Xlw37tnjzD/jv0RGAE&#10;pHOhCHQZ9+m1N/FLkzKKE4SHM2yqRybjT9c34zyfciYp9nU6uZpMY5ns8rfzAX8oMCwaJfdES0JL&#10;7FcBh9RTSmxmYdm0baKmtX9dUM14k11GjBb2m5411avxN1AdaCsPA+HByWVDrVci4JPwxDAtQqrF&#10;Rzp0C13J4WhxVoP//dF9zCfgKcpZR4opuSVJc9b+tERIFFcyxjf5NCfPJ28yvcqjtzkl2Z25AxLj&#10;mN6Fk8mMydieTO3BvJCoF7EbhYSV1LPkeDLvcNAvPQqpFouURGJyAld27WQsHTGLgD73L8K7I+pI&#10;fD3ASVOieAP+kBv/DG6xQ6IgMRPxHdA8wk5CTNweH01U+ms/ZV2e9vwPAAAA//8DAFBLAwQUAAYA&#10;CAAAACEASTgrnt4AAAAEAQAADwAAAGRycy9kb3ducmV2LnhtbEyPwWrDMBBE74X+g9hCLqWRm2CT&#10;OJZDKQSSQw9N4kNvsrWxTa2VkRTH/vuqvTSXhWGGmbfZdtQdG9C61pCA13kEDKkyqqVawPm0e1kB&#10;c16Skp0hFDChg23++JDJVJkbfeJw9DULJeRSKaDxvk85d1WDWrq56ZGCdzFWSx+krbmy8hbKdccX&#10;UZRwLVsKC43s8b3B6vt41QKK0T5/7NaH/VR+tcMUHYrl6lIIMXsa3zbAPI7+Pwy/+AEd8sBUmisp&#10;xzoB4RH/d4O3SJIlsFJAHMfA84zfw+c/AAAA//8DAFBLAQItABQABgAIAAAAIQC2gziS/gAAAOEB&#10;AAATAAAAAAAAAAAAAAAAAAAAAABbQ29udGVudF9UeXBlc10ueG1sUEsBAi0AFAAGAAgAAAAhADj9&#10;If/WAAAAlAEAAAsAAAAAAAAAAAAAAAAALwEAAF9yZWxzLy5yZWxzUEsBAi0AFAAGAAgAAAAhAKhu&#10;QH4SAgAAIgQAAA4AAAAAAAAAAAAAAAAALgIAAGRycy9lMm9Eb2MueG1sUEsBAi0AFAAGAAgAAAAh&#10;AEk4K57eAAAABAEAAA8AAAAAAAAAAAAAAAAAbAQAAGRycy9kb3ducmV2LnhtbFBLBQYAAAAABAAE&#10;APMAAAB3BQAAAAA=&#10;" filled="f" stroked="f">
              <v:textbox style="mso-fit-shape-to-text:t" inset="0,15pt,20pt,0">
                <w:txbxContent>
                  <w:p w14:paraId="48904101" w14:textId="611A9A81" w:rsidR="00AF5E75" w:rsidRPr="00AF5E75" w:rsidRDefault="00AF5E75" w:rsidP="00AF5E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F5E7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5292"/>
    <w:rsid w:val="00056308"/>
    <w:rsid w:val="000610F1"/>
    <w:rsid w:val="00064D34"/>
    <w:rsid w:val="00081213"/>
    <w:rsid w:val="00083ED0"/>
    <w:rsid w:val="00084CE8"/>
    <w:rsid w:val="00085DF7"/>
    <w:rsid w:val="0008614D"/>
    <w:rsid w:val="0009203D"/>
    <w:rsid w:val="000A73E0"/>
    <w:rsid w:val="000B6EC8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357C"/>
    <w:rsid w:val="00236395"/>
    <w:rsid w:val="002367FC"/>
    <w:rsid w:val="002433E5"/>
    <w:rsid w:val="00247DBA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B6478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2234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5E02"/>
    <w:rsid w:val="003E6AA1"/>
    <w:rsid w:val="003F0326"/>
    <w:rsid w:val="003F13F8"/>
    <w:rsid w:val="003F1E5D"/>
    <w:rsid w:val="003F666B"/>
    <w:rsid w:val="0040525B"/>
    <w:rsid w:val="0041101B"/>
    <w:rsid w:val="00411419"/>
    <w:rsid w:val="00420732"/>
    <w:rsid w:val="004306E9"/>
    <w:rsid w:val="00434929"/>
    <w:rsid w:val="00434C4F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44841"/>
    <w:rsid w:val="0065315D"/>
    <w:rsid w:val="00653539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C0CB5"/>
    <w:rsid w:val="007D10E3"/>
    <w:rsid w:val="007D6EA4"/>
    <w:rsid w:val="007E36BB"/>
    <w:rsid w:val="007E4031"/>
    <w:rsid w:val="007E418E"/>
    <w:rsid w:val="007E5D75"/>
    <w:rsid w:val="007F7365"/>
    <w:rsid w:val="007F7FAB"/>
    <w:rsid w:val="008027BB"/>
    <w:rsid w:val="0080411F"/>
    <w:rsid w:val="00810FF5"/>
    <w:rsid w:val="008139A8"/>
    <w:rsid w:val="00817365"/>
    <w:rsid w:val="00821BAA"/>
    <w:rsid w:val="008231A6"/>
    <w:rsid w:val="0082487E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4A7E"/>
    <w:rsid w:val="00AD5A35"/>
    <w:rsid w:val="00AE1232"/>
    <w:rsid w:val="00AE138F"/>
    <w:rsid w:val="00AF5E75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39DC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2060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921C3"/>
    <w:rsid w:val="00C936A3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2337"/>
    <w:rsid w:val="00D743DB"/>
    <w:rsid w:val="00D75D63"/>
    <w:rsid w:val="00D76E77"/>
    <w:rsid w:val="00D905D2"/>
    <w:rsid w:val="00D93A09"/>
    <w:rsid w:val="00D96186"/>
    <w:rsid w:val="00D97BFF"/>
    <w:rsid w:val="00DA13D8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2BBF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3641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42B8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A270D0"/>
    <w:rsid w:val="28BF2A50"/>
    <w:rsid w:val="291083D5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4387B5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52dab63e0243138d1944d561e785b2b1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4d8c0c3d484eb35d65e659904f33a3ce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C4650-7D91-4A42-A091-FD65D11E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contentBits="1" removed="0"/>
  <clbl:label id="{d9591e8f-2d47-4229-8c5c-b41f21282b61}" enabled="1" method="Standard" siteId="{34bff3e6-5f08-4a34-979a-b9b2f81a762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Francesca Nespoli</cp:lastModifiedBy>
  <cp:revision>2</cp:revision>
  <cp:lastPrinted>2026-03-27T08:33:00Z</cp:lastPrinted>
  <dcterms:created xsi:type="dcterms:W3CDTF">2026-04-08T13:58:00Z</dcterms:created>
  <dcterms:modified xsi:type="dcterms:W3CDTF">2026-04-08T13:58:00Z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621e9386,1f82352d,40730839,57b3ba4</vt:lpwstr>
  </property>
  <property fmtid="{D5CDD505-2E9C-101B-9397-08002B2CF9AE}" pid="3" name="ClassificationContentMarkingHeaderFontProps">
    <vt:lpwstr>#000000,9,Aptos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